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4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000"/>
        <w:gridCol w:w="3440"/>
      </w:tblGrid>
      <w:tr>
        <w:tc>
          <w:tcPr>
            <w:tcW w:type="dxa" w:w="7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A3A0F" w:val="clear"/>
            <w:tcMar>
              <w:top w:type="dxa" w:w="200"/>
              <w:left w:type="dxa" w:w="280"/>
              <w:bottom w:type="dxa" w:w="200"/>
              <w:right w:type="dxa" w:w="200"/>
            </w:tcMar>
            <w:vAlign w:val="center"/>
          </w:tcPr>
          <w:p>
            <w:pPr>
              <w:spacing w:after="40" w:before="0"/>
            </w:pPr>
            <w:r>
              <w:rPr>
                <w:rFonts w:ascii="Arial" w:cs="Arial" w:eastAsia="Arial" w:hAnsi="Arial"/>
                <w:b/>
                <w:bCs/>
                <w:color w:val="FFFFFF"/>
                <w:sz w:val="40"/>
                <w:szCs w:val="40"/>
              </w:rPr>
              <w:t xml:space="preserve">PROGRAM PERFORMANCE GROUP</w:t>
            </w:r>
          </w:p>
          <w:p>
            <w:pPr>
              <w:spacing w:after="40" w:before="0"/>
            </w:pPr>
            <w:r>
              <w:rPr>
                <w:rFonts w:ascii="Arial" w:cs="Arial" w:eastAsia="Arial" w:hAnsi="Arial"/>
                <w:i/>
                <w:iCs/>
                <w:color w:val="F8F4E8"/>
                <w:sz w:val="18"/>
                <w:szCs w:val="18"/>
              </w:rPr>
              <w:t xml:space="preserve">Est. 2017  |  Worthington, OH</w:t>
            </w:r>
          </w:p>
          <w:p>
            <w:pPr>
              <w:spacing w:after="0" w:before="20"/>
            </w:pPr>
            <w:r>
              <w:rPr>
                <w:rFonts w:ascii="Arial" w:cs="Arial" w:eastAsia="Arial" w:hAnsi="Arial"/>
                <w:i/>
                <w:iCs/>
                <w:color w:val="F8F4E8"/>
                <w:sz w:val="20"/>
                <w:szCs w:val="20"/>
              </w:rPr>
              <w:t xml:space="preserve">Certified. Compliant. Results-Driven.</w:t>
            </w:r>
          </w:p>
        </w:tc>
        <w:tc>
          <w:tcPr>
            <w:tcW w:type="dxa" w:w="34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D5A1B" w:val="clear"/>
            <w:tcMar>
              <w:top w:type="dxa" w:w="140"/>
              <w:left w:type="dxa" w:w="200"/>
              <w:bottom w:type="dxa" w:w="140"/>
              <w:right w:type="dxa" w:w="160"/>
            </w:tcMar>
            <w:vAlign w:val="center"/>
          </w:tcPr>
          <w:p>
            <w:pPr>
              <w:spacing w:after="30" w:before="0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CAPABILITY STATEMENT</w:t>
            </w:r>
          </w:p>
          <w:p>
            <w:pPr>
              <w:pBdr>
                <w:bottom w:val="single" w:color="F8F4E8" w:sz="2"/>
              </w:pBdr>
              <w:spacing w:after="20" w:before="20"/>
            </w:pPr>
          </w:p>
          <w:p>
            <w:pPr>
              <w:spacing w:after="20" w:before="20"/>
            </w:pPr>
            <w:r>
              <w:rPr>
                <w:rFonts w:ascii="Arial" w:cs="Arial" w:eastAsia="Arial" w:hAnsi="Arial"/>
                <w:color w:val="FFFFFF"/>
                <w:sz w:val="17"/>
                <w:szCs w:val="17"/>
              </w:rPr>
              <w:t xml:space="preserve">EIN:  81-5386827</w:t>
            </w:r>
          </w:p>
          <w:p>
            <w:pPr>
              <w:spacing w:after="10" w:before="10"/>
            </w:pPr>
            <w:r>
              <w:rPr>
                <w:rFonts w:ascii="Arial" w:cs="Arial" w:eastAsia="Arial" w:hAnsi="Arial"/>
                <w:color w:val="FFFFFF"/>
                <w:sz w:val="17"/>
                <w:szCs w:val="17"/>
              </w:rPr>
              <w:t xml:space="preserve">UEI:  PKE9LRESRKD4</w:t>
            </w:r>
          </w:p>
          <w:p>
            <w:pPr>
              <w:spacing w:after="10" w:before="10"/>
            </w:pPr>
            <w:r>
              <w:rPr>
                <w:rFonts w:ascii="Arial" w:cs="Arial" w:eastAsia="Arial" w:hAnsi="Arial"/>
                <w:i/>
                <w:iCs/>
                <w:color w:val="F8F4E8"/>
                <w:sz w:val="17"/>
                <w:szCs w:val="17"/>
              </w:rPr>
              <w:t xml:space="preserve">CAGE:  [Pending SAM.gov]</w:t>
            </w:r>
          </w:p>
          <w:p>
            <w:pPr>
              <w:spacing w:after="10" w:before="10"/>
            </w:pPr>
            <w:r>
              <w:rPr>
                <w:rFonts w:ascii="Arial" w:cs="Arial" w:eastAsia="Arial" w:hAnsi="Arial"/>
                <w:i/>
                <w:iCs/>
                <w:color w:val="F8F4E8"/>
                <w:sz w:val="17"/>
                <w:szCs w:val="17"/>
              </w:rPr>
              <w:t xml:space="preserve">NAICS:  [Pending]</w:t>
            </w:r>
          </w:p>
          <w:p>
            <w:pPr>
              <w:spacing w:after="10" w:before="10"/>
            </w:pPr>
            <w:r>
              <w:rPr>
                <w:rFonts w:ascii="Arial" w:cs="Arial" w:eastAsia="Arial" w:hAnsi="Arial"/>
                <w:color w:val="FFFFFF"/>
                <w:sz w:val="17"/>
                <w:szCs w:val="17"/>
              </w:rPr>
              <w:t xml:space="preserve">Entity Est.:  2017</w:t>
            </w:r>
          </w:p>
        </w:tc>
      </w:tr>
    </w:tbl>
    <w:p>
      <w:pPr>
        <w:spacing w:after="0" w:before="120"/>
      </w:pPr>
    </w:p>
    <w:tbl>
      <w:tblPr>
        <w:tblW w:type="dxa" w:w="104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200"/>
        <w:gridCol w:w="4240"/>
      </w:tblGrid>
      <w:tr>
        <w:tc>
          <w:tcPr>
            <w:tcW w:type="dxa" w:w="6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200"/>
            </w:tcMar>
            <w:vAlign w:val="top"/>
          </w:tcPr>
          <w:p>
            <w:pPr>
              <w:pBdr>
                <w:bottom w:val="single" w:color="2D5A1B" w:sz="6" w:space="2"/>
              </w:pBdr>
              <w:spacing w:after="60" w:before="0"/>
            </w:pPr>
            <w:r>
              <w:rPr>
                <w:rFonts w:ascii="Arial" w:cs="Arial" w:eastAsia="Arial" w:hAnsi="Arial"/>
                <w:b/>
                <w:bCs/>
                <w:color w:val="2D5A1B"/>
                <w:sz w:val="19"/>
                <w:szCs w:val="19"/>
              </w:rPr>
              <w:t xml:space="preserve">ABOUT PPG</w:t>
            </w:r>
          </w:p>
          <w:p>
            <w:pPr>
              <w:spacing w:after="100" w:before="60"/>
            </w:pPr>
            <w:r>
              <w:rPr>
                <w:rFonts w:ascii="Arial" w:cs="Arial" w:eastAsia="Arial" w:hAnsi="Arial"/>
                <w:color w:val="1A1A1A"/>
                <w:sz w:val="19"/>
                <w:szCs w:val="19"/>
              </w:rPr>
              <w:t xml:space="preserve">Program Performance Group is a woman-owned program and project management consulting firm serving federal and state government agencies. Founded on a 9-year-old legal entity, PPG combines PMP-certified leadership, state-contracted service delivery experience, and organizational leadership capabilities to deliver measurable outcomes for complex government programs.</w:t>
            </w:r>
          </w:p>
          <w:p>
            <w:pPr>
              <w:pBdr>
                <w:bottom w:val="single" w:color="2D5A1B" w:sz="6" w:space="2"/>
              </w:pBdr>
              <w:spacing w:after="60" w:before="0"/>
            </w:pPr>
            <w:r>
              <w:rPr>
                <w:rFonts w:ascii="Arial" w:cs="Arial" w:eastAsia="Arial" w:hAnsi="Arial"/>
                <w:b/>
                <w:bCs/>
                <w:color w:val="2D5A1B"/>
                <w:sz w:val="19"/>
                <w:szCs w:val="19"/>
              </w:rPr>
              <w:t xml:space="preserve">CORE CAPABILITIES</w:t>
            </w:r>
          </w:p>
          <w:p>
            <w:pPr>
              <w:spacing w:after="40" w:before="60"/>
            </w:pP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Program Management: end-to-end lifecycle oversight, milestone tracking, risk mitigation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Project Management: scope, schedule, cost, and quality management for complex engagements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Operational Consulting: process improvement, workflow optimization, compliance-driven operations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Compliance &amp; Documentation: Medicaid billing, CPARS-ready reporting, regulatory adherence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Stakeholder Coordination: multi-agency, multi-stakeholder program delivery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Workforce &amp; Contractor Management: independent contractor oversight, scheduling, performance</w:t>
            </w:r>
          </w:p>
          <w:p>
            <w:pPr>
              <w:spacing w:after="0" w:before="60"/>
            </w:pPr>
          </w:p>
          <w:p>
            <w:pPr>
              <w:pBdr>
                <w:bottom w:val="single" w:color="2D5A1B" w:sz="6" w:space="2"/>
              </w:pBdr>
              <w:spacing w:after="60" w:before="0"/>
            </w:pPr>
            <w:r>
              <w:rPr>
                <w:rFonts w:ascii="Arial" w:cs="Arial" w:eastAsia="Arial" w:hAnsi="Arial"/>
                <w:b/>
                <w:bCs/>
                <w:color w:val="2D5A1B"/>
                <w:sz w:val="19"/>
                <w:szCs w:val="19"/>
              </w:rPr>
              <w:t xml:space="preserve">PAST PERFORMANCE</w:t>
            </w:r>
          </w:p>
          <w:p>
            <w:pPr>
              <w:spacing w:after="40" w:before="60"/>
            </w:pPr>
          </w:p>
          <w:p>
            <w:pPr>
              <w:spacing w:after="20" w:before="40"/>
            </w:pPr>
            <w:r>
              <w:rPr>
                <w:rFonts w:ascii="Arial" w:cs="Arial" w:eastAsia="Arial" w:hAnsi="Arial"/>
                <w:b/>
                <w:bCs/>
                <w:color w:val="2D5A1B"/>
                <w:sz w:val="19"/>
                <w:szCs w:val="19"/>
              </w:rPr>
              <w:t xml:space="preserve">State of Ohio, DODD Service Delivery Program</w:t>
            </w:r>
          </w:p>
          <w:p>
            <w:pPr>
              <w:spacing w:after="30" w:before="30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Client: Ohio Department of Developmental Disabilities</w:t>
            </w:r>
          </w:p>
          <w:p>
            <w:pPr>
              <w:spacing w:after="30" w:before="30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Scope: Round-the-clock direct service delivery across multiple state-contracted Medicaid-funded accounts</w:t>
            </w:r>
          </w:p>
          <w:p>
            <w:pPr>
              <w:spacing w:after="30" w:before="30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Role: Full accountability for service delivery, billing, compliance documentation, and multi-stakeholder coordination</w:t>
            </w:r>
          </w:p>
          <w:p>
            <w:pPr>
              <w:spacing w:after="30" w:before="30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Duration: 2021 – Present</w:t>
            </w:r>
          </w:p>
          <w:p>
            <w:pPr>
              <w:spacing w:after="30" w:before="30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Performance: Clean compliance record; uninterrupted service delivery maintained throughout engagement</w:t>
            </w:r>
          </w:p>
          <w:p>
            <w:pPr>
              <w:spacing w:after="20" w:before="80"/>
            </w:pPr>
            <w:r>
              <w:rPr>
                <w:rFonts w:ascii="Arial" w:cs="Arial" w:eastAsia="Arial" w:hAnsi="Arial"/>
                <w:b/>
                <w:bCs/>
                <w:color w:val="2D5A1B"/>
                <w:sz w:val="19"/>
                <w:szCs w:val="19"/>
              </w:rPr>
              <w:t xml:space="preserve">Blue Star Transit LLC: Transportation Logistics &amp; Dispatch Operations</w:t>
            </w:r>
          </w:p>
          <w:p>
            <w:pPr>
              <w:spacing w:after="30" w:before="30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Scope: Transportation logistics, dispatch operations, broker negotiations, and independent contractor management</w:t>
            </w:r>
          </w:p>
          <w:p>
            <w:pPr>
              <w:spacing w:after="30" w:before="30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Experience: Ohio Department of Transportation (ODOT) aligned operations, managing driver compliance, route coordination, and freight logistics across Ohio</w:t>
            </w:r>
          </w:p>
          <w:p>
            <w:pPr>
              <w:spacing w:after="30" w:before="30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Role: Owner-operator managing contractor agreements, load procurement via broker negotiations, and full operational compliance</w:t>
            </w:r>
          </w:p>
          <w:p>
            <w:pPr>
              <w:spacing w:after="30" w:before="30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Duration: 2017 – 2019</w:t>
            </w:r>
          </w:p>
        </w:tc>
        <w:tc>
          <w:tcPr>
            <w:tcW w:type="dxa" w:w="4240"/>
            <w:tcBorders>
              <w:top w:val="none" w:color="FFFFFF" w:sz="0"/>
              <w:left w:val="single" w:color="2D5A1B" w:sz="4"/>
              <w:bottom w:val="none" w:color="FFFFFF" w:sz="0"/>
              <w:right w:val="none" w:color="FFFFFF" w:sz="0"/>
            </w:tcBorders>
            <w:tcMar>
              <w:top w:type="dxa" w:w="0"/>
              <w:left w:type="dxa" w:w="200"/>
              <w:bottom w:type="dxa" w:w="0"/>
              <w:right w:type="dxa" w:w="0"/>
            </w:tcMar>
            <w:vAlign w:val="top"/>
          </w:tcPr>
          <w:p>
            <w:pPr>
              <w:pBdr>
                <w:bottom w:val="single" w:color="2D5A1B" w:sz="6" w:space="2"/>
              </w:pBdr>
              <w:spacing w:after="60" w:before="0"/>
            </w:pPr>
            <w:r>
              <w:rPr>
                <w:rFonts w:ascii="Arial" w:cs="Arial" w:eastAsia="Arial" w:hAnsi="Arial"/>
                <w:b/>
                <w:bCs/>
                <w:color w:val="2D5A1B"/>
                <w:sz w:val="19"/>
                <w:szCs w:val="19"/>
              </w:rPr>
              <w:t xml:space="preserve">DIFFERENTIATORS</w:t>
            </w:r>
          </w:p>
          <w:p>
            <w:pPr>
              <w:spacing w:after="40" w:before="60"/>
            </w:pP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PMP Certified, December 2025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MBA in Organizational Leadership, Franklin University (2026)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Woman-Owned Small Business (WOSB): Certified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9-year legal entity, established 2017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State-contracted Medicaid service delivery, direct billing &amp; compliance accountability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Bilingual: English &amp; Somali, HHS, refugee, and international program capability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Absentee principal model, low overhead, scalable delivery</w:t>
            </w:r>
          </w:p>
          <w:p>
            <w:pPr>
              <w:spacing w:after="0" w:before="60"/>
            </w:pPr>
          </w:p>
          <w:p>
            <w:pPr>
              <w:pBdr>
                <w:bottom w:val="single" w:color="2D5A1B" w:sz="6" w:space="2"/>
              </w:pBdr>
              <w:spacing w:after="60" w:before="0"/>
            </w:pPr>
            <w:r>
              <w:rPr>
                <w:rFonts w:ascii="Arial" w:cs="Arial" w:eastAsia="Arial" w:hAnsi="Arial"/>
                <w:b/>
                <w:bCs/>
                <w:color w:val="2D5A1B"/>
                <w:sz w:val="19"/>
                <w:szCs w:val="19"/>
              </w:rPr>
              <w:t xml:space="preserve">TARGET AGENCIES</w:t>
            </w:r>
          </w:p>
          <w:p>
            <w:pPr>
              <w:spacing w:after="40" w:before="60"/>
            </w:pP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Department of Veterans Affairs (VA)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Dept. of Health &amp; Human Services (HHS)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General Services Administration (GSA)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Dept. of Homeland Security (DHS)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Department of Defense (DoD)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State of Ohio: DODD, Medicaid</w:t>
            </w:r>
          </w:p>
          <w:p>
            <w:pPr>
              <w:spacing w:after="0" w:before="60"/>
            </w:pPr>
          </w:p>
          <w:p>
            <w:pPr>
              <w:pBdr>
                <w:bottom w:val="single" w:color="2D5A1B" w:sz="6" w:space="2"/>
              </w:pBdr>
              <w:spacing w:after="60" w:before="0"/>
            </w:pPr>
            <w:r>
              <w:rPr>
                <w:rFonts w:ascii="Arial" w:cs="Arial" w:eastAsia="Arial" w:hAnsi="Arial"/>
                <w:b/>
                <w:bCs/>
                <w:color w:val="2D5A1B"/>
                <w:sz w:val="19"/>
                <w:szCs w:val="19"/>
              </w:rPr>
              <w:t xml:space="preserve">CERTIFICATIONS &amp; REGISTRATIONS</w:t>
            </w:r>
          </w:p>
          <w:p>
            <w:pPr>
              <w:spacing w:after="40" w:before="60"/>
            </w:pP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SAM.gov: Registered and Active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WOSB: Certified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8(a) Business Development: Certified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Ohio SOS Trade Name: Active (06/24/2026)</w:t>
            </w:r>
          </w:p>
          <w:p>
            <w:pPr>
              <w:spacing w:after="0" w:before="60"/>
            </w:pPr>
          </w:p>
          <w:p>
            <w:pPr>
              <w:pBdr>
                <w:bottom w:val="single" w:color="2D5A1B" w:sz="6" w:space="2"/>
              </w:pBdr>
              <w:spacing w:after="60" w:before="0"/>
            </w:pPr>
            <w:r>
              <w:rPr>
                <w:rFonts w:ascii="Arial" w:cs="Arial" w:eastAsia="Arial" w:hAnsi="Arial"/>
                <w:b/>
                <w:bCs/>
                <w:color w:val="2D5A1B"/>
                <w:sz w:val="19"/>
                <w:szCs w:val="19"/>
              </w:rPr>
              <w:t xml:space="preserve">CONTACT</w:t>
            </w:r>
          </w:p>
          <w:p>
            <w:pPr>
              <w:spacing w:after="40" w:before="60"/>
            </w:pPr>
          </w:p>
          <w:p>
            <w:pPr>
              <w:spacing w:after="30" w:before="30"/>
            </w:pPr>
            <w:r>
              <w:rPr>
                <w:rFonts w:ascii="Arial" w:cs="Arial" w:eastAsia="Arial" w:hAnsi="Arial"/>
                <w:b/>
                <w:bCs/>
                <w:color w:val="1A1A1A"/>
                <w:sz w:val="19"/>
                <w:szCs w:val="19"/>
              </w:rPr>
              <w:t xml:space="preserve">Fatima Osman, PMP</w:t>
            </w:r>
          </w:p>
          <w:p>
            <w:pPr>
              <w:spacing w:after="20" w:before="20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Principal Consultant &amp; Founder</w:t>
            </w:r>
          </w:p>
          <w:p>
            <w:pPr>
              <w:spacing w:after="20" w:before="20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[Business Phone: Coming Soon]</w:t>
            </w:r>
          </w:p>
          <w:p>
            <w:pPr>
              <w:spacing w:after="20" w:before="20"/>
            </w:pPr>
            <w:r>
              <w:rPr>
                <w:rFonts w:ascii="Arial" w:cs="Arial" w:eastAsia="Arial" w:hAnsi="Arial"/>
                <w:color w:val="2D5A1B"/>
                <w:sz w:val="18"/>
                <w:szCs w:val="18"/>
              </w:rPr>
              <w:t xml:space="preserve">fatima@ppgroup.ai</w:t>
            </w:r>
          </w:p>
          <w:p>
            <w:pPr>
              <w:spacing w:after="20" w:before="20"/>
            </w:pPr>
            <w:r>
              <w:rPr>
                <w:rFonts w:ascii="Arial" w:cs="Arial" w:eastAsia="Arial" w:hAnsi="Arial"/>
                <w:color w:val="2D5A1B"/>
                <w:sz w:val="18"/>
                <w:szCs w:val="18"/>
              </w:rPr>
              <w:t xml:space="preserve">ppgroup.ai</w:t>
            </w:r>
          </w:p>
          <w:p>
            <w:pPr>
              <w:spacing w:after="20" w:before="20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Worthington, OH</w:t>
            </w:r>
          </w:p>
        </w:tc>
      </w:tr>
    </w:tbl>
    <w:p>
      <w:pPr>
        <w:spacing w:after="0" w:before="120"/>
      </w:pPr>
    </w:p>
    <w:tbl>
      <w:tblPr>
        <w:tblW w:type="dxa" w:w="104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40"/>
      </w:tblGrid>
      <w:tr>
        <w:tc>
          <w:tcPr>
            <w:tcW w:type="dxa" w:w="104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A3A0F" w:val="clear"/>
            <w:tcMar>
              <w:top w:type="dxa" w:w="100"/>
              <w:left w:type="dxa" w:w="280"/>
              <w:bottom w:type="dxa" w:w="100"/>
              <w:right w:type="dxa" w:w="2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F8F4E8"/>
                <w:sz w:val="16"/>
                <w:szCs w:val="16"/>
              </w:rPr>
              <w:t xml:space="preserve">Program Performance Group  |  Worthington, OH  |  fatima@ppgroup.ai  |  ppgroup.ai  |  EIN: 81-5386827  |  WOSB Certified</w:t>
            </w:r>
          </w:p>
        </w:tc>
      </w:tr>
    </w:tbl>
    <w:sectPr>
      <w:pgSz w:w="12240" w:h="15840" w:orient="portrait"/>
      <w:pgMar w:top="720" w:right="900" w:bottom="720" w:left="9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■"/>
      <w:lvlJc w:val="left"/>
      <w:pPr>
        <w:ind w:left="320" w:hanging="22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2026-07-07T16:07:06.180Z</dcterms:created>
  <dcterms:modified xsi:type="dcterms:W3CDTF">2026-07-07T16:07:06.193Z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